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75559" w14:textId="77777777" w:rsidR="00E16820" w:rsidRDefault="00E16820">
      <w:pPr>
        <w:pStyle w:val="ConsPlusTitlePage"/>
      </w:pPr>
      <w:r>
        <w:br/>
      </w:r>
    </w:p>
    <w:p w14:paraId="53B1F466" w14:textId="77777777" w:rsidR="00E16820" w:rsidRDefault="00E16820">
      <w:pPr>
        <w:pStyle w:val="ConsPlusNormal"/>
        <w:outlineLvl w:val="0"/>
      </w:pPr>
    </w:p>
    <w:p w14:paraId="6CF9C851" w14:textId="77777777" w:rsidR="00E16820" w:rsidRDefault="00E16820">
      <w:pPr>
        <w:pStyle w:val="ConsPlusTitle"/>
        <w:jc w:val="center"/>
      </w:pPr>
      <w:r>
        <w:t>ЗЕЙСКИЙ РАЙОННЫЙ СОВЕТ НАРОДНЫХ ДЕПУТАТОВ</w:t>
      </w:r>
    </w:p>
    <w:p w14:paraId="4586AE68" w14:textId="77777777" w:rsidR="00E16820" w:rsidRDefault="00E16820">
      <w:pPr>
        <w:pStyle w:val="ConsPlusTitle"/>
        <w:jc w:val="center"/>
      </w:pPr>
    </w:p>
    <w:p w14:paraId="5ADDA3AC" w14:textId="77777777" w:rsidR="00E16820" w:rsidRDefault="00E16820">
      <w:pPr>
        <w:pStyle w:val="ConsPlusTitle"/>
        <w:jc w:val="center"/>
      </w:pPr>
      <w:r>
        <w:t>РЕШЕНИЕ</w:t>
      </w:r>
    </w:p>
    <w:p w14:paraId="03DCD9CD" w14:textId="77777777" w:rsidR="00E16820" w:rsidRDefault="00E16820">
      <w:pPr>
        <w:pStyle w:val="ConsPlusTitle"/>
        <w:jc w:val="center"/>
      </w:pPr>
    </w:p>
    <w:p w14:paraId="4A9C388E" w14:textId="77777777" w:rsidR="00E16820" w:rsidRDefault="00E16820">
      <w:pPr>
        <w:pStyle w:val="ConsPlusTitle"/>
        <w:jc w:val="center"/>
      </w:pPr>
      <w:r>
        <w:t>О ВНЕСЕНИИ ИЗМЕНЕНИЙ В РЕШЕНИЕ ЗЕЙСКОГО РАЙОНА "О ЕДИНОМ</w:t>
      </w:r>
    </w:p>
    <w:p w14:paraId="66328A6F" w14:textId="77777777" w:rsidR="00E16820" w:rsidRDefault="00E16820">
      <w:pPr>
        <w:pStyle w:val="ConsPlusTitle"/>
        <w:jc w:val="center"/>
      </w:pPr>
      <w:r>
        <w:t>НАЛОГЕ НА ВМЕНЕННЫЙ ДОХОД ДЛЯ ОТДЕЛЬНЫХ ВИДОВ</w:t>
      </w:r>
    </w:p>
    <w:p w14:paraId="3BF59EEA" w14:textId="77777777" w:rsidR="00E16820" w:rsidRDefault="00E16820">
      <w:pPr>
        <w:pStyle w:val="ConsPlusTitle"/>
        <w:jc w:val="center"/>
      </w:pPr>
      <w:r>
        <w:t>ДЕЯТЕЛЬНОСТИ НА ТЕРРИТОРИИ ЗЕЙСКОГО РАЙОНА"</w:t>
      </w:r>
    </w:p>
    <w:p w14:paraId="58DE41A3" w14:textId="77777777" w:rsidR="00E16820" w:rsidRDefault="00E16820">
      <w:pPr>
        <w:pStyle w:val="ConsPlusNormal"/>
        <w:ind w:firstLine="540"/>
        <w:jc w:val="both"/>
      </w:pPr>
    </w:p>
    <w:p w14:paraId="6188E0C1" w14:textId="77777777" w:rsidR="00E16820" w:rsidRDefault="00E16820">
      <w:pPr>
        <w:pStyle w:val="ConsPlusNormal"/>
        <w:jc w:val="right"/>
      </w:pPr>
      <w:r>
        <w:t>Принято</w:t>
      </w:r>
    </w:p>
    <w:p w14:paraId="5B234472" w14:textId="77777777" w:rsidR="00E16820" w:rsidRDefault="00E16820">
      <w:pPr>
        <w:pStyle w:val="ConsPlusNormal"/>
        <w:jc w:val="right"/>
      </w:pPr>
      <w:proofErr w:type="spellStart"/>
      <w:r>
        <w:t>Зейским</w:t>
      </w:r>
      <w:proofErr w:type="spellEnd"/>
    </w:p>
    <w:p w14:paraId="7305BEAD" w14:textId="77777777" w:rsidR="00E16820" w:rsidRDefault="00E16820">
      <w:pPr>
        <w:pStyle w:val="ConsPlusNormal"/>
        <w:jc w:val="right"/>
      </w:pPr>
      <w:r>
        <w:t>районным Советом</w:t>
      </w:r>
    </w:p>
    <w:p w14:paraId="3E70D6F4" w14:textId="77777777" w:rsidR="00E16820" w:rsidRDefault="00E16820">
      <w:pPr>
        <w:pStyle w:val="ConsPlusNormal"/>
        <w:jc w:val="right"/>
      </w:pPr>
      <w:r>
        <w:t>народных депутатов</w:t>
      </w:r>
    </w:p>
    <w:p w14:paraId="09F31BE5" w14:textId="77777777" w:rsidR="00E16820" w:rsidRDefault="00E16820">
      <w:pPr>
        <w:pStyle w:val="ConsPlusNormal"/>
        <w:jc w:val="right"/>
      </w:pPr>
      <w:r>
        <w:t>25 июня 2008 года</w:t>
      </w:r>
    </w:p>
    <w:p w14:paraId="4E81DE15" w14:textId="77777777" w:rsidR="00E16820" w:rsidRDefault="00E16820">
      <w:pPr>
        <w:pStyle w:val="ConsPlusNormal"/>
        <w:ind w:firstLine="540"/>
        <w:jc w:val="both"/>
      </w:pPr>
    </w:p>
    <w:p w14:paraId="6731A6D1" w14:textId="77777777" w:rsidR="00E16820" w:rsidRDefault="00E16820">
      <w:pPr>
        <w:pStyle w:val="ConsPlusNormal"/>
        <w:ind w:firstLine="540"/>
        <w:jc w:val="both"/>
      </w:pPr>
      <w:r>
        <w:t xml:space="preserve">1. Внести в </w:t>
      </w:r>
      <w:hyperlink r:id="rId4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Зейского</w:t>
      </w:r>
      <w:proofErr w:type="spellEnd"/>
      <w:r>
        <w:t xml:space="preserve"> района от 20 октября 2005 г. N 44-РР "О едином налоге на вмененный доход для отдельных видов деятельности на территории </w:t>
      </w:r>
      <w:proofErr w:type="spellStart"/>
      <w:r>
        <w:t>Зейского</w:t>
      </w:r>
      <w:proofErr w:type="spellEnd"/>
      <w:r>
        <w:t xml:space="preserve"> района" следующие изменения:</w:t>
      </w:r>
    </w:p>
    <w:p w14:paraId="76D97BEF" w14:textId="77777777" w:rsidR="00E16820" w:rsidRDefault="00E16820">
      <w:pPr>
        <w:pStyle w:val="ConsPlusNormal"/>
        <w:spacing w:before="220"/>
        <w:ind w:firstLine="540"/>
        <w:jc w:val="both"/>
      </w:pPr>
      <w:r>
        <w:t xml:space="preserve">1) в статье 2 </w:t>
      </w:r>
      <w:hyperlink r:id="rId5" w:history="1">
        <w:r>
          <w:rPr>
            <w:color w:val="0000FF"/>
          </w:rPr>
          <w:t>пункты 8</w:t>
        </w:r>
      </w:hyperlink>
      <w:r>
        <w:t xml:space="preserve">, </w:t>
      </w:r>
      <w:hyperlink r:id="rId6" w:history="1">
        <w:r>
          <w:rPr>
            <w:color w:val="0000FF"/>
          </w:rPr>
          <w:t>12</w:t>
        </w:r>
      </w:hyperlink>
      <w:r>
        <w:t xml:space="preserve">, </w:t>
      </w:r>
      <w:hyperlink r:id="rId7" w:history="1">
        <w:r>
          <w:rPr>
            <w:color w:val="0000FF"/>
          </w:rPr>
          <w:t>13</w:t>
        </w:r>
      </w:hyperlink>
      <w:r>
        <w:t xml:space="preserve"> изложить в следующей редакции:</w:t>
      </w:r>
    </w:p>
    <w:p w14:paraId="10748221" w14:textId="77777777" w:rsidR="00E16820" w:rsidRDefault="00E16820">
      <w:pPr>
        <w:pStyle w:val="ConsPlusNormal"/>
        <w:spacing w:before="220"/>
        <w:ind w:firstLine="540"/>
        <w:jc w:val="both"/>
      </w:pPr>
      <w:r>
        <w:t>"8)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питания;";</w:t>
      </w:r>
    </w:p>
    <w:p w14:paraId="60B0DAAB" w14:textId="77777777" w:rsidR="00E16820" w:rsidRDefault="00E16820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7BC1B22D" w14:textId="77777777" w:rsidR="00E16820" w:rsidRDefault="00E16820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посетителей;";</w:t>
      </w:r>
    </w:p>
    <w:p w14:paraId="50DD634E" w14:textId="77777777" w:rsidR="00E16820" w:rsidRDefault="00E16820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статью 2</w:t>
        </w:r>
      </w:hyperlink>
      <w:r>
        <w:t xml:space="preserve"> дополнить пунктом 14 следующего содержания:</w:t>
      </w:r>
    </w:p>
    <w:p w14:paraId="58378405" w14:textId="77777777" w:rsidR="00E16820" w:rsidRDefault="00E16820">
      <w:pPr>
        <w:pStyle w:val="ConsPlusNormal"/>
        <w:spacing w:before="220"/>
        <w:ind w:firstLine="540"/>
        <w:jc w:val="both"/>
      </w:pPr>
      <w:r>
        <w:t>"14) оказания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посетителей.";</w:t>
      </w:r>
    </w:p>
    <w:p w14:paraId="64D0A81A" w14:textId="77777777" w:rsidR="00E16820" w:rsidRDefault="00E16820">
      <w:pPr>
        <w:pStyle w:val="ConsPlusNormal"/>
        <w:spacing w:before="220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приложение N 1</w:t>
        </w:r>
      </w:hyperlink>
      <w:r>
        <w:t xml:space="preserve"> к решению </w:t>
      </w:r>
      <w:proofErr w:type="spellStart"/>
      <w:r>
        <w:t>Зейского</w:t>
      </w:r>
      <w:proofErr w:type="spellEnd"/>
      <w:r>
        <w:t xml:space="preserve"> района от 20 октября 2005 г. N 44-РР изложить в следующей редакции:</w:t>
      </w:r>
    </w:p>
    <w:p w14:paraId="33CDEA0D" w14:textId="77777777" w:rsidR="00E16820" w:rsidRDefault="00E16820">
      <w:pPr>
        <w:pStyle w:val="ConsPlusNormal"/>
        <w:ind w:firstLine="540"/>
        <w:jc w:val="both"/>
      </w:pPr>
    </w:p>
    <w:p w14:paraId="2FE6C5E5" w14:textId="77777777" w:rsidR="00FB10DA" w:rsidRDefault="00FB10DA">
      <w:pPr>
        <w:pStyle w:val="ConsPlusNormal"/>
        <w:jc w:val="right"/>
      </w:pPr>
    </w:p>
    <w:p w14:paraId="6E12802B" w14:textId="77777777" w:rsidR="00FB10DA" w:rsidRDefault="00FB10DA">
      <w:pPr>
        <w:pStyle w:val="ConsPlusNormal"/>
        <w:jc w:val="right"/>
      </w:pPr>
    </w:p>
    <w:p w14:paraId="6645DD36" w14:textId="77777777" w:rsidR="00FB10DA" w:rsidRDefault="00FB10DA">
      <w:pPr>
        <w:pStyle w:val="ConsPlusNormal"/>
        <w:jc w:val="right"/>
      </w:pPr>
    </w:p>
    <w:p w14:paraId="54F024BB" w14:textId="77777777" w:rsidR="00FB10DA" w:rsidRDefault="00FB10DA">
      <w:pPr>
        <w:pStyle w:val="ConsPlusNormal"/>
        <w:jc w:val="right"/>
      </w:pPr>
    </w:p>
    <w:p w14:paraId="6952A944" w14:textId="77777777" w:rsidR="00AA0A18" w:rsidRDefault="00AA0A18">
      <w:pPr>
        <w:pStyle w:val="ConsPlusNormal"/>
        <w:jc w:val="right"/>
      </w:pPr>
    </w:p>
    <w:p w14:paraId="7D98D12E" w14:textId="5EB1E2B2" w:rsidR="00E16820" w:rsidRDefault="00E16820">
      <w:pPr>
        <w:pStyle w:val="ConsPlusNormal"/>
        <w:jc w:val="right"/>
      </w:pPr>
      <w:bookmarkStart w:id="0" w:name="_GoBack"/>
      <w:bookmarkEnd w:id="0"/>
      <w:r>
        <w:lastRenderedPageBreak/>
        <w:t>"Приложение N 1</w:t>
      </w:r>
    </w:p>
    <w:p w14:paraId="6A9DD775" w14:textId="77777777" w:rsidR="00E16820" w:rsidRDefault="00E16820">
      <w:pPr>
        <w:pStyle w:val="ConsPlusNormal"/>
        <w:jc w:val="right"/>
      </w:pPr>
      <w:r>
        <w:t>к решению</w:t>
      </w:r>
    </w:p>
    <w:p w14:paraId="445F862F" w14:textId="77777777" w:rsidR="00E16820" w:rsidRDefault="00E16820">
      <w:pPr>
        <w:pStyle w:val="ConsPlusNormal"/>
        <w:jc w:val="right"/>
      </w:pPr>
      <w:proofErr w:type="spellStart"/>
      <w:r>
        <w:t>Зейского</w:t>
      </w:r>
      <w:proofErr w:type="spellEnd"/>
    </w:p>
    <w:p w14:paraId="1FAB9B62" w14:textId="77777777" w:rsidR="00E16820" w:rsidRDefault="00E16820">
      <w:pPr>
        <w:pStyle w:val="ConsPlusNormal"/>
        <w:jc w:val="right"/>
      </w:pPr>
      <w:r>
        <w:t>районного Совета</w:t>
      </w:r>
    </w:p>
    <w:p w14:paraId="1574BE12" w14:textId="77777777" w:rsidR="00E16820" w:rsidRDefault="00E16820">
      <w:pPr>
        <w:pStyle w:val="ConsPlusNormal"/>
        <w:jc w:val="right"/>
      </w:pPr>
      <w:r>
        <w:t>народных депутатов</w:t>
      </w:r>
    </w:p>
    <w:p w14:paraId="3AAC663F" w14:textId="77777777" w:rsidR="00E16820" w:rsidRDefault="00E16820">
      <w:pPr>
        <w:pStyle w:val="ConsPlusNormal"/>
        <w:jc w:val="right"/>
      </w:pPr>
      <w:r>
        <w:t>от 20 октября 2005 г. N 44-РР</w:t>
      </w:r>
    </w:p>
    <w:p w14:paraId="02DB5116" w14:textId="77777777" w:rsidR="00E16820" w:rsidRDefault="00E16820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E16820" w14:paraId="79B73D35" w14:textId="77777777">
        <w:tc>
          <w:tcPr>
            <w:tcW w:w="567" w:type="dxa"/>
          </w:tcPr>
          <w:p w14:paraId="32C2766F" w14:textId="77777777" w:rsidR="00E16820" w:rsidRDefault="00E168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14:paraId="69465811" w14:textId="77777777" w:rsidR="00E16820" w:rsidRDefault="00E16820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2268" w:type="dxa"/>
          </w:tcPr>
          <w:p w14:paraId="4AAD698E" w14:textId="77777777" w:rsidR="00E16820" w:rsidRDefault="00E16820">
            <w:pPr>
              <w:pStyle w:val="ConsPlusNormal"/>
              <w:jc w:val="center"/>
            </w:pPr>
            <w:r>
              <w:t>Значение фактора "A"</w:t>
            </w:r>
          </w:p>
        </w:tc>
      </w:tr>
      <w:tr w:rsidR="00E16820" w14:paraId="37699831" w14:textId="77777777">
        <w:tc>
          <w:tcPr>
            <w:tcW w:w="567" w:type="dxa"/>
          </w:tcPr>
          <w:p w14:paraId="05B4052E" w14:textId="77777777" w:rsidR="00E16820" w:rsidRDefault="00E16820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</w:tcPr>
          <w:p w14:paraId="663770FA" w14:textId="77777777" w:rsidR="00E16820" w:rsidRDefault="00E16820">
            <w:pPr>
              <w:pStyle w:val="ConsPlusNormal"/>
            </w:pPr>
            <w:proofErr w:type="spellStart"/>
            <w:r>
              <w:t>Амуро</w:t>
            </w:r>
            <w:proofErr w:type="spellEnd"/>
            <w:r>
              <w:t>-Балтийск</w:t>
            </w:r>
          </w:p>
        </w:tc>
        <w:tc>
          <w:tcPr>
            <w:tcW w:w="2268" w:type="dxa"/>
          </w:tcPr>
          <w:p w14:paraId="77F61AA8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165DAE34" w14:textId="77777777">
        <w:tc>
          <w:tcPr>
            <w:tcW w:w="567" w:type="dxa"/>
          </w:tcPr>
          <w:p w14:paraId="69005EB3" w14:textId="77777777" w:rsidR="00E16820" w:rsidRDefault="00E16820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</w:tcPr>
          <w:p w14:paraId="4E3DDD22" w14:textId="77777777" w:rsidR="00E16820" w:rsidRDefault="00E16820">
            <w:pPr>
              <w:pStyle w:val="ConsPlusNormal"/>
            </w:pPr>
            <w:r>
              <w:t>Заречное-на-Уркане</w:t>
            </w:r>
          </w:p>
        </w:tc>
        <w:tc>
          <w:tcPr>
            <w:tcW w:w="2268" w:type="dxa"/>
          </w:tcPr>
          <w:p w14:paraId="36592E9B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5EA1D516" w14:textId="77777777">
        <w:tc>
          <w:tcPr>
            <w:tcW w:w="567" w:type="dxa"/>
          </w:tcPr>
          <w:p w14:paraId="22F0B5B8" w14:textId="77777777" w:rsidR="00E16820" w:rsidRDefault="00E16820">
            <w:pPr>
              <w:pStyle w:val="ConsPlusNormal"/>
            </w:pPr>
            <w:r>
              <w:t>3.</w:t>
            </w:r>
          </w:p>
        </w:tc>
        <w:tc>
          <w:tcPr>
            <w:tcW w:w="6236" w:type="dxa"/>
          </w:tcPr>
          <w:p w14:paraId="0778097F" w14:textId="77777777" w:rsidR="00E16820" w:rsidRDefault="00E16820">
            <w:pPr>
              <w:pStyle w:val="ConsPlusNormal"/>
            </w:pPr>
            <w:r>
              <w:t>Кировский</w:t>
            </w:r>
          </w:p>
        </w:tc>
        <w:tc>
          <w:tcPr>
            <w:tcW w:w="2268" w:type="dxa"/>
          </w:tcPr>
          <w:p w14:paraId="231102B6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03722F3D" w14:textId="77777777">
        <w:tc>
          <w:tcPr>
            <w:tcW w:w="567" w:type="dxa"/>
          </w:tcPr>
          <w:p w14:paraId="01788616" w14:textId="77777777" w:rsidR="00E16820" w:rsidRDefault="00E16820">
            <w:pPr>
              <w:pStyle w:val="ConsPlusNormal"/>
            </w:pPr>
            <w:r>
              <w:t>4.</w:t>
            </w:r>
          </w:p>
        </w:tc>
        <w:tc>
          <w:tcPr>
            <w:tcW w:w="6236" w:type="dxa"/>
          </w:tcPr>
          <w:p w14:paraId="07BCAC59" w14:textId="77777777" w:rsidR="00E16820" w:rsidRDefault="00E16820">
            <w:pPr>
              <w:pStyle w:val="ConsPlusNormal"/>
            </w:pPr>
            <w:r>
              <w:t>Золотая Гора</w:t>
            </w:r>
          </w:p>
        </w:tc>
        <w:tc>
          <w:tcPr>
            <w:tcW w:w="2268" w:type="dxa"/>
          </w:tcPr>
          <w:p w14:paraId="6C2C8834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7E6981E3" w14:textId="77777777">
        <w:tc>
          <w:tcPr>
            <w:tcW w:w="567" w:type="dxa"/>
          </w:tcPr>
          <w:p w14:paraId="4E8AE816" w14:textId="77777777" w:rsidR="00E16820" w:rsidRDefault="00E16820">
            <w:pPr>
              <w:pStyle w:val="ConsPlusNormal"/>
            </w:pPr>
            <w:r>
              <w:t>5.</w:t>
            </w:r>
          </w:p>
        </w:tc>
        <w:tc>
          <w:tcPr>
            <w:tcW w:w="6236" w:type="dxa"/>
          </w:tcPr>
          <w:p w14:paraId="41F68549" w14:textId="77777777" w:rsidR="00E16820" w:rsidRDefault="00E16820">
            <w:pPr>
              <w:pStyle w:val="ConsPlusNormal"/>
            </w:pPr>
            <w:r>
              <w:t>Николаевка</w:t>
            </w:r>
          </w:p>
        </w:tc>
        <w:tc>
          <w:tcPr>
            <w:tcW w:w="2268" w:type="dxa"/>
          </w:tcPr>
          <w:p w14:paraId="29640D93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0C6F2C49" w14:textId="77777777">
        <w:tc>
          <w:tcPr>
            <w:tcW w:w="567" w:type="dxa"/>
          </w:tcPr>
          <w:p w14:paraId="30A8D83A" w14:textId="77777777" w:rsidR="00E16820" w:rsidRDefault="00E16820">
            <w:pPr>
              <w:pStyle w:val="ConsPlusNormal"/>
            </w:pPr>
            <w:r>
              <w:t>6.</w:t>
            </w:r>
          </w:p>
        </w:tc>
        <w:tc>
          <w:tcPr>
            <w:tcW w:w="6236" w:type="dxa"/>
          </w:tcPr>
          <w:p w14:paraId="587BFF29" w14:textId="77777777" w:rsidR="00E16820" w:rsidRDefault="00E16820">
            <w:pPr>
              <w:pStyle w:val="ConsPlusNormal"/>
            </w:pPr>
            <w:r>
              <w:t>Николаевка-2</w:t>
            </w:r>
          </w:p>
        </w:tc>
        <w:tc>
          <w:tcPr>
            <w:tcW w:w="2268" w:type="dxa"/>
          </w:tcPr>
          <w:p w14:paraId="27F8BCC9" w14:textId="77777777" w:rsidR="00E16820" w:rsidRDefault="00E16820">
            <w:pPr>
              <w:pStyle w:val="ConsPlusNormal"/>
            </w:pPr>
            <w:r>
              <w:t>0,16</w:t>
            </w:r>
          </w:p>
        </w:tc>
      </w:tr>
      <w:tr w:rsidR="00E16820" w14:paraId="374C1947" w14:textId="77777777">
        <w:tc>
          <w:tcPr>
            <w:tcW w:w="567" w:type="dxa"/>
          </w:tcPr>
          <w:p w14:paraId="2002A804" w14:textId="77777777" w:rsidR="00E16820" w:rsidRDefault="00E16820">
            <w:pPr>
              <w:pStyle w:val="ConsPlusNormal"/>
            </w:pPr>
            <w:r>
              <w:t>7.</w:t>
            </w:r>
          </w:p>
        </w:tc>
        <w:tc>
          <w:tcPr>
            <w:tcW w:w="6236" w:type="dxa"/>
          </w:tcPr>
          <w:p w14:paraId="20F45D79" w14:textId="77777777" w:rsidR="00E16820" w:rsidRDefault="00E16820">
            <w:pPr>
              <w:pStyle w:val="ConsPlusNormal"/>
            </w:pPr>
            <w:r>
              <w:t>Александровка</w:t>
            </w:r>
          </w:p>
        </w:tc>
        <w:tc>
          <w:tcPr>
            <w:tcW w:w="2268" w:type="dxa"/>
          </w:tcPr>
          <w:p w14:paraId="59B2B163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7F9724F7" w14:textId="77777777">
        <w:tc>
          <w:tcPr>
            <w:tcW w:w="567" w:type="dxa"/>
          </w:tcPr>
          <w:p w14:paraId="7D728B5C" w14:textId="77777777" w:rsidR="00E16820" w:rsidRDefault="00E16820">
            <w:pPr>
              <w:pStyle w:val="ConsPlusNormal"/>
            </w:pPr>
            <w:r>
              <w:t>8.</w:t>
            </w:r>
          </w:p>
        </w:tc>
        <w:tc>
          <w:tcPr>
            <w:tcW w:w="6236" w:type="dxa"/>
          </w:tcPr>
          <w:p w14:paraId="2E594F12" w14:textId="77777777" w:rsidR="00E16820" w:rsidRDefault="00E16820">
            <w:pPr>
              <w:pStyle w:val="ConsPlusNormal"/>
            </w:pPr>
            <w:r>
              <w:t>Березовка</w:t>
            </w:r>
          </w:p>
        </w:tc>
        <w:tc>
          <w:tcPr>
            <w:tcW w:w="2268" w:type="dxa"/>
          </w:tcPr>
          <w:p w14:paraId="333B28C0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085259F4" w14:textId="77777777">
        <w:tc>
          <w:tcPr>
            <w:tcW w:w="567" w:type="dxa"/>
          </w:tcPr>
          <w:p w14:paraId="6472020D" w14:textId="77777777" w:rsidR="00E16820" w:rsidRDefault="00E16820">
            <w:pPr>
              <w:pStyle w:val="ConsPlusNormal"/>
            </w:pPr>
            <w:r>
              <w:t>9.</w:t>
            </w:r>
          </w:p>
        </w:tc>
        <w:tc>
          <w:tcPr>
            <w:tcW w:w="6236" w:type="dxa"/>
          </w:tcPr>
          <w:p w14:paraId="04C5A357" w14:textId="77777777" w:rsidR="00E16820" w:rsidRDefault="00E16820">
            <w:pPr>
              <w:pStyle w:val="ConsPlusNormal"/>
            </w:pPr>
            <w:r>
              <w:t>Алексеевка</w:t>
            </w:r>
          </w:p>
        </w:tc>
        <w:tc>
          <w:tcPr>
            <w:tcW w:w="2268" w:type="dxa"/>
          </w:tcPr>
          <w:p w14:paraId="2D17E253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6862679E" w14:textId="77777777">
        <w:tc>
          <w:tcPr>
            <w:tcW w:w="567" w:type="dxa"/>
          </w:tcPr>
          <w:p w14:paraId="5A51AA46" w14:textId="77777777" w:rsidR="00E16820" w:rsidRDefault="00E16820">
            <w:pPr>
              <w:pStyle w:val="ConsPlusNormal"/>
            </w:pPr>
            <w:r>
              <w:t>10.</w:t>
            </w:r>
          </w:p>
        </w:tc>
        <w:tc>
          <w:tcPr>
            <w:tcW w:w="6236" w:type="dxa"/>
          </w:tcPr>
          <w:p w14:paraId="09FE27F5" w14:textId="77777777" w:rsidR="00E16820" w:rsidRDefault="00E16820">
            <w:pPr>
              <w:pStyle w:val="ConsPlusNormal"/>
            </w:pPr>
            <w:r>
              <w:t>Ясный</w:t>
            </w:r>
          </w:p>
        </w:tc>
        <w:tc>
          <w:tcPr>
            <w:tcW w:w="2268" w:type="dxa"/>
          </w:tcPr>
          <w:p w14:paraId="764FA463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7633FE75" w14:textId="77777777">
        <w:tc>
          <w:tcPr>
            <w:tcW w:w="567" w:type="dxa"/>
          </w:tcPr>
          <w:p w14:paraId="222E09C4" w14:textId="77777777" w:rsidR="00E16820" w:rsidRDefault="00E16820">
            <w:pPr>
              <w:pStyle w:val="ConsPlusNormal"/>
            </w:pPr>
            <w:r>
              <w:t>11.</w:t>
            </w:r>
          </w:p>
        </w:tc>
        <w:tc>
          <w:tcPr>
            <w:tcW w:w="6236" w:type="dxa"/>
          </w:tcPr>
          <w:p w14:paraId="5B397739" w14:textId="77777777" w:rsidR="00E16820" w:rsidRDefault="00E16820">
            <w:pPr>
              <w:pStyle w:val="ConsPlusNormal"/>
            </w:pPr>
            <w:proofErr w:type="spellStart"/>
            <w:r>
              <w:t>Огорон</w:t>
            </w:r>
            <w:proofErr w:type="spellEnd"/>
          </w:p>
        </w:tc>
        <w:tc>
          <w:tcPr>
            <w:tcW w:w="2268" w:type="dxa"/>
          </w:tcPr>
          <w:p w14:paraId="469FA970" w14:textId="77777777" w:rsidR="00E16820" w:rsidRDefault="00E16820">
            <w:pPr>
              <w:pStyle w:val="ConsPlusNormal"/>
            </w:pPr>
            <w:r>
              <w:t>0,27</w:t>
            </w:r>
          </w:p>
        </w:tc>
      </w:tr>
      <w:tr w:rsidR="00E16820" w14:paraId="38766328" w14:textId="77777777">
        <w:tc>
          <w:tcPr>
            <w:tcW w:w="567" w:type="dxa"/>
          </w:tcPr>
          <w:p w14:paraId="43B5C75D" w14:textId="77777777" w:rsidR="00E16820" w:rsidRDefault="00E16820">
            <w:pPr>
              <w:pStyle w:val="ConsPlusNormal"/>
            </w:pPr>
            <w:r>
              <w:t>12.</w:t>
            </w:r>
          </w:p>
        </w:tc>
        <w:tc>
          <w:tcPr>
            <w:tcW w:w="6236" w:type="dxa"/>
          </w:tcPr>
          <w:p w14:paraId="2FAE142D" w14:textId="77777777" w:rsidR="00E16820" w:rsidRDefault="00E16820">
            <w:pPr>
              <w:pStyle w:val="ConsPlusNormal"/>
            </w:pPr>
            <w:proofErr w:type="spellStart"/>
            <w:r>
              <w:t>Поляковский</w:t>
            </w:r>
            <w:proofErr w:type="spellEnd"/>
          </w:p>
        </w:tc>
        <w:tc>
          <w:tcPr>
            <w:tcW w:w="2268" w:type="dxa"/>
          </w:tcPr>
          <w:p w14:paraId="4448D093" w14:textId="77777777" w:rsidR="00E16820" w:rsidRDefault="00E16820">
            <w:pPr>
              <w:pStyle w:val="ConsPlusNormal"/>
            </w:pPr>
            <w:r>
              <w:t>0,16</w:t>
            </w:r>
          </w:p>
        </w:tc>
      </w:tr>
      <w:tr w:rsidR="00E16820" w14:paraId="19388AF2" w14:textId="77777777">
        <w:tc>
          <w:tcPr>
            <w:tcW w:w="567" w:type="dxa"/>
          </w:tcPr>
          <w:p w14:paraId="30C6C183" w14:textId="77777777" w:rsidR="00E16820" w:rsidRDefault="00E16820">
            <w:pPr>
              <w:pStyle w:val="ConsPlusNormal"/>
            </w:pPr>
            <w:r>
              <w:t>13.</w:t>
            </w:r>
          </w:p>
        </w:tc>
        <w:tc>
          <w:tcPr>
            <w:tcW w:w="6236" w:type="dxa"/>
          </w:tcPr>
          <w:p w14:paraId="53FA791C" w14:textId="77777777" w:rsidR="00E16820" w:rsidRDefault="00E16820">
            <w:pPr>
              <w:pStyle w:val="ConsPlusNormal"/>
            </w:pPr>
            <w:proofErr w:type="spellStart"/>
            <w:r>
              <w:t>Нововысокое</w:t>
            </w:r>
            <w:proofErr w:type="spellEnd"/>
          </w:p>
        </w:tc>
        <w:tc>
          <w:tcPr>
            <w:tcW w:w="2268" w:type="dxa"/>
          </w:tcPr>
          <w:p w14:paraId="4B04FBB1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5C698A6C" w14:textId="77777777">
        <w:tc>
          <w:tcPr>
            <w:tcW w:w="567" w:type="dxa"/>
          </w:tcPr>
          <w:p w14:paraId="293730FE" w14:textId="77777777" w:rsidR="00E16820" w:rsidRDefault="00E16820">
            <w:pPr>
              <w:pStyle w:val="ConsPlusNormal"/>
            </w:pPr>
            <w:r>
              <w:t>14.</w:t>
            </w:r>
          </w:p>
        </w:tc>
        <w:tc>
          <w:tcPr>
            <w:tcW w:w="6236" w:type="dxa"/>
          </w:tcPr>
          <w:p w14:paraId="455F5A43" w14:textId="77777777" w:rsidR="00E16820" w:rsidRDefault="00E16820">
            <w:pPr>
              <w:pStyle w:val="ConsPlusNormal"/>
            </w:pPr>
            <w:r>
              <w:t>Гулик</w:t>
            </w:r>
          </w:p>
        </w:tc>
        <w:tc>
          <w:tcPr>
            <w:tcW w:w="2268" w:type="dxa"/>
          </w:tcPr>
          <w:p w14:paraId="76169BF2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51E13597" w14:textId="77777777">
        <w:tc>
          <w:tcPr>
            <w:tcW w:w="567" w:type="dxa"/>
          </w:tcPr>
          <w:p w14:paraId="57F046A5" w14:textId="77777777" w:rsidR="00E16820" w:rsidRDefault="00E16820">
            <w:pPr>
              <w:pStyle w:val="ConsPlusNormal"/>
            </w:pPr>
            <w:r>
              <w:t>15.</w:t>
            </w:r>
          </w:p>
        </w:tc>
        <w:tc>
          <w:tcPr>
            <w:tcW w:w="6236" w:type="dxa"/>
          </w:tcPr>
          <w:p w14:paraId="37D319FC" w14:textId="77777777" w:rsidR="00E16820" w:rsidRDefault="00E16820">
            <w:pPr>
              <w:pStyle w:val="ConsPlusNormal"/>
            </w:pPr>
            <w:proofErr w:type="spellStart"/>
            <w:r>
              <w:t>Сиан</w:t>
            </w:r>
            <w:proofErr w:type="spellEnd"/>
          </w:p>
        </w:tc>
        <w:tc>
          <w:tcPr>
            <w:tcW w:w="2268" w:type="dxa"/>
          </w:tcPr>
          <w:p w14:paraId="38989D8E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28F726AB" w14:textId="77777777">
        <w:tc>
          <w:tcPr>
            <w:tcW w:w="567" w:type="dxa"/>
          </w:tcPr>
          <w:p w14:paraId="47D1B600" w14:textId="77777777" w:rsidR="00E16820" w:rsidRDefault="00E16820">
            <w:pPr>
              <w:pStyle w:val="ConsPlusNormal"/>
            </w:pPr>
            <w:r>
              <w:t>16.</w:t>
            </w:r>
          </w:p>
        </w:tc>
        <w:tc>
          <w:tcPr>
            <w:tcW w:w="6236" w:type="dxa"/>
          </w:tcPr>
          <w:p w14:paraId="533FF72A" w14:textId="77777777" w:rsidR="00E16820" w:rsidRDefault="00E16820">
            <w:pPr>
              <w:pStyle w:val="ConsPlusNormal"/>
            </w:pPr>
            <w:proofErr w:type="spellStart"/>
            <w:r>
              <w:t>Умлекан</w:t>
            </w:r>
            <w:proofErr w:type="spellEnd"/>
          </w:p>
        </w:tc>
        <w:tc>
          <w:tcPr>
            <w:tcW w:w="2268" w:type="dxa"/>
          </w:tcPr>
          <w:p w14:paraId="57F9E5F1" w14:textId="77777777" w:rsidR="00E16820" w:rsidRDefault="00E16820">
            <w:pPr>
              <w:pStyle w:val="ConsPlusNormal"/>
            </w:pPr>
            <w:r>
              <w:t>0,16</w:t>
            </w:r>
          </w:p>
        </w:tc>
      </w:tr>
      <w:tr w:rsidR="00E16820" w14:paraId="09692ADB" w14:textId="77777777">
        <w:tc>
          <w:tcPr>
            <w:tcW w:w="567" w:type="dxa"/>
          </w:tcPr>
          <w:p w14:paraId="2C9338FA" w14:textId="77777777" w:rsidR="00E16820" w:rsidRDefault="00E16820">
            <w:pPr>
              <w:pStyle w:val="ConsPlusNormal"/>
            </w:pPr>
            <w:r>
              <w:t>17.</w:t>
            </w:r>
          </w:p>
        </w:tc>
        <w:tc>
          <w:tcPr>
            <w:tcW w:w="6236" w:type="dxa"/>
          </w:tcPr>
          <w:p w14:paraId="26FD93E8" w14:textId="77777777" w:rsidR="00E16820" w:rsidRDefault="00E16820">
            <w:pPr>
              <w:pStyle w:val="ConsPlusNormal"/>
            </w:pPr>
            <w:r>
              <w:t>Рублевка</w:t>
            </w:r>
          </w:p>
        </w:tc>
        <w:tc>
          <w:tcPr>
            <w:tcW w:w="2268" w:type="dxa"/>
          </w:tcPr>
          <w:p w14:paraId="691FF0E3" w14:textId="77777777" w:rsidR="00E16820" w:rsidRDefault="00E16820">
            <w:pPr>
              <w:pStyle w:val="ConsPlusNormal"/>
            </w:pPr>
            <w:r>
              <w:t>0,12</w:t>
            </w:r>
          </w:p>
        </w:tc>
      </w:tr>
      <w:tr w:rsidR="00E16820" w14:paraId="31FAE5F7" w14:textId="77777777">
        <w:tc>
          <w:tcPr>
            <w:tcW w:w="567" w:type="dxa"/>
          </w:tcPr>
          <w:p w14:paraId="229DC6BD" w14:textId="77777777" w:rsidR="00E16820" w:rsidRDefault="00E16820">
            <w:pPr>
              <w:pStyle w:val="ConsPlusNormal"/>
            </w:pPr>
            <w:r>
              <w:t>18.</w:t>
            </w:r>
          </w:p>
        </w:tc>
        <w:tc>
          <w:tcPr>
            <w:tcW w:w="6236" w:type="dxa"/>
          </w:tcPr>
          <w:p w14:paraId="19DDF676" w14:textId="77777777" w:rsidR="00E16820" w:rsidRDefault="00E16820">
            <w:pPr>
              <w:pStyle w:val="ConsPlusNormal"/>
            </w:pPr>
            <w:r>
              <w:t>Хвойный</w:t>
            </w:r>
          </w:p>
        </w:tc>
        <w:tc>
          <w:tcPr>
            <w:tcW w:w="2268" w:type="dxa"/>
          </w:tcPr>
          <w:p w14:paraId="7344D060" w14:textId="77777777" w:rsidR="00E16820" w:rsidRDefault="00E16820">
            <w:pPr>
              <w:pStyle w:val="ConsPlusNormal"/>
            </w:pPr>
            <w:r>
              <w:t>0,16</w:t>
            </w:r>
          </w:p>
        </w:tc>
      </w:tr>
      <w:tr w:rsidR="00E16820" w14:paraId="2A8E9FEB" w14:textId="77777777">
        <w:tc>
          <w:tcPr>
            <w:tcW w:w="567" w:type="dxa"/>
          </w:tcPr>
          <w:p w14:paraId="01550E93" w14:textId="77777777" w:rsidR="00E16820" w:rsidRDefault="00E16820">
            <w:pPr>
              <w:pStyle w:val="ConsPlusNormal"/>
            </w:pPr>
            <w:r>
              <w:t>19.</w:t>
            </w:r>
          </w:p>
        </w:tc>
        <w:tc>
          <w:tcPr>
            <w:tcW w:w="6236" w:type="dxa"/>
          </w:tcPr>
          <w:p w14:paraId="371CC8B6" w14:textId="77777777" w:rsidR="00E16820" w:rsidRDefault="00E16820">
            <w:pPr>
              <w:pStyle w:val="ConsPlusNormal"/>
            </w:pPr>
            <w:proofErr w:type="spellStart"/>
            <w:r>
              <w:t>Чалбачи</w:t>
            </w:r>
            <w:proofErr w:type="spellEnd"/>
          </w:p>
        </w:tc>
        <w:tc>
          <w:tcPr>
            <w:tcW w:w="2268" w:type="dxa"/>
          </w:tcPr>
          <w:p w14:paraId="664CC781" w14:textId="77777777" w:rsidR="00E16820" w:rsidRDefault="00E16820">
            <w:pPr>
              <w:pStyle w:val="ConsPlusNormal"/>
            </w:pPr>
            <w:r>
              <w:t>0,16</w:t>
            </w:r>
          </w:p>
        </w:tc>
      </w:tr>
      <w:tr w:rsidR="00E16820" w14:paraId="568A24FD" w14:textId="77777777">
        <w:tc>
          <w:tcPr>
            <w:tcW w:w="567" w:type="dxa"/>
          </w:tcPr>
          <w:p w14:paraId="3C99BE1B" w14:textId="77777777" w:rsidR="00E16820" w:rsidRDefault="00E16820">
            <w:pPr>
              <w:pStyle w:val="ConsPlusNormal"/>
            </w:pPr>
            <w:r>
              <w:t>20.</w:t>
            </w:r>
          </w:p>
        </w:tc>
        <w:tc>
          <w:tcPr>
            <w:tcW w:w="6236" w:type="dxa"/>
          </w:tcPr>
          <w:p w14:paraId="711EF370" w14:textId="77777777" w:rsidR="00E16820" w:rsidRDefault="00E16820">
            <w:pPr>
              <w:pStyle w:val="ConsPlusNormal"/>
            </w:pPr>
            <w:proofErr w:type="spellStart"/>
            <w:r>
              <w:t>Алгач</w:t>
            </w:r>
            <w:proofErr w:type="spellEnd"/>
          </w:p>
        </w:tc>
        <w:tc>
          <w:tcPr>
            <w:tcW w:w="2268" w:type="dxa"/>
          </w:tcPr>
          <w:p w14:paraId="4B6E0387" w14:textId="77777777" w:rsidR="00E16820" w:rsidRDefault="00E16820">
            <w:pPr>
              <w:pStyle w:val="ConsPlusNormal"/>
            </w:pPr>
            <w:r>
              <w:t>0,2</w:t>
            </w:r>
          </w:p>
        </w:tc>
      </w:tr>
      <w:tr w:rsidR="00E16820" w14:paraId="1A3CAA43" w14:textId="77777777">
        <w:tc>
          <w:tcPr>
            <w:tcW w:w="567" w:type="dxa"/>
          </w:tcPr>
          <w:p w14:paraId="0CB9DAAD" w14:textId="77777777" w:rsidR="00E16820" w:rsidRDefault="00E16820">
            <w:pPr>
              <w:pStyle w:val="ConsPlusNormal"/>
            </w:pPr>
            <w:r>
              <w:t>21.</w:t>
            </w:r>
          </w:p>
        </w:tc>
        <w:tc>
          <w:tcPr>
            <w:tcW w:w="6236" w:type="dxa"/>
          </w:tcPr>
          <w:p w14:paraId="5106CD61" w14:textId="77777777" w:rsidR="00E16820" w:rsidRDefault="00E16820">
            <w:pPr>
              <w:pStyle w:val="ConsPlusNormal"/>
            </w:pPr>
            <w:r>
              <w:t>Бомнак</w:t>
            </w:r>
          </w:p>
        </w:tc>
        <w:tc>
          <w:tcPr>
            <w:tcW w:w="2268" w:type="dxa"/>
          </w:tcPr>
          <w:p w14:paraId="0D01D45D" w14:textId="77777777" w:rsidR="00E16820" w:rsidRDefault="00E16820">
            <w:pPr>
              <w:pStyle w:val="ConsPlusNormal"/>
            </w:pPr>
            <w:r>
              <w:t>0,2</w:t>
            </w:r>
          </w:p>
        </w:tc>
      </w:tr>
      <w:tr w:rsidR="00E16820" w14:paraId="4E267828" w14:textId="77777777">
        <w:tc>
          <w:tcPr>
            <w:tcW w:w="567" w:type="dxa"/>
          </w:tcPr>
          <w:p w14:paraId="245C81D7" w14:textId="77777777" w:rsidR="00E16820" w:rsidRDefault="00E16820">
            <w:pPr>
              <w:pStyle w:val="ConsPlusNormal"/>
            </w:pPr>
            <w:r>
              <w:t>22.</w:t>
            </w:r>
          </w:p>
        </w:tc>
        <w:tc>
          <w:tcPr>
            <w:tcW w:w="6236" w:type="dxa"/>
          </w:tcPr>
          <w:p w14:paraId="0BEDE31C" w14:textId="77777777" w:rsidR="00E16820" w:rsidRDefault="00E16820">
            <w:pPr>
              <w:pStyle w:val="ConsPlusNormal"/>
            </w:pPr>
            <w:r>
              <w:t>Горный</w:t>
            </w:r>
          </w:p>
        </w:tc>
        <w:tc>
          <w:tcPr>
            <w:tcW w:w="2268" w:type="dxa"/>
          </w:tcPr>
          <w:p w14:paraId="402E6005" w14:textId="77777777" w:rsidR="00E16820" w:rsidRDefault="00E16820">
            <w:pPr>
              <w:pStyle w:val="ConsPlusNormal"/>
            </w:pPr>
            <w:r>
              <w:t>0,35</w:t>
            </w:r>
          </w:p>
        </w:tc>
      </w:tr>
      <w:tr w:rsidR="00E16820" w14:paraId="2D1F657A" w14:textId="77777777">
        <w:tc>
          <w:tcPr>
            <w:tcW w:w="567" w:type="dxa"/>
          </w:tcPr>
          <w:p w14:paraId="34DC764A" w14:textId="77777777" w:rsidR="00E16820" w:rsidRDefault="00E16820">
            <w:pPr>
              <w:pStyle w:val="ConsPlusNormal"/>
            </w:pPr>
            <w:r>
              <w:t>23.</w:t>
            </w:r>
          </w:p>
        </w:tc>
        <w:tc>
          <w:tcPr>
            <w:tcW w:w="6236" w:type="dxa"/>
          </w:tcPr>
          <w:p w14:paraId="08B2D3F8" w14:textId="77777777" w:rsidR="00E16820" w:rsidRDefault="00E16820">
            <w:pPr>
              <w:pStyle w:val="ConsPlusNormal"/>
            </w:pPr>
            <w:r>
              <w:t xml:space="preserve">Ж.-д. ст. </w:t>
            </w:r>
            <w:proofErr w:type="spellStart"/>
            <w:r>
              <w:t>Дугда</w:t>
            </w:r>
            <w:proofErr w:type="spellEnd"/>
          </w:p>
        </w:tc>
        <w:tc>
          <w:tcPr>
            <w:tcW w:w="2268" w:type="dxa"/>
          </w:tcPr>
          <w:p w14:paraId="4F7A97D3" w14:textId="77777777" w:rsidR="00E16820" w:rsidRDefault="00E16820">
            <w:pPr>
              <w:pStyle w:val="ConsPlusNormal"/>
            </w:pPr>
            <w:r>
              <w:t>0,27</w:t>
            </w:r>
          </w:p>
        </w:tc>
      </w:tr>
      <w:tr w:rsidR="00E16820" w14:paraId="47091320" w14:textId="77777777">
        <w:tc>
          <w:tcPr>
            <w:tcW w:w="567" w:type="dxa"/>
          </w:tcPr>
          <w:p w14:paraId="2884BB69" w14:textId="77777777" w:rsidR="00E16820" w:rsidRDefault="00E16820">
            <w:pPr>
              <w:pStyle w:val="ConsPlusNormal"/>
            </w:pPr>
            <w:r>
              <w:t>24.</w:t>
            </w:r>
          </w:p>
        </w:tc>
        <w:tc>
          <w:tcPr>
            <w:tcW w:w="6236" w:type="dxa"/>
          </w:tcPr>
          <w:p w14:paraId="07166691" w14:textId="77777777" w:rsidR="00E16820" w:rsidRDefault="00E16820">
            <w:pPr>
              <w:pStyle w:val="ConsPlusNormal"/>
            </w:pPr>
            <w:r>
              <w:t>Ивановка</w:t>
            </w:r>
          </w:p>
        </w:tc>
        <w:tc>
          <w:tcPr>
            <w:tcW w:w="2268" w:type="dxa"/>
          </w:tcPr>
          <w:p w14:paraId="01697DBB" w14:textId="77777777" w:rsidR="00E16820" w:rsidRDefault="00E16820">
            <w:pPr>
              <w:pStyle w:val="ConsPlusNormal"/>
            </w:pPr>
            <w:r>
              <w:t>0,27</w:t>
            </w:r>
          </w:p>
        </w:tc>
      </w:tr>
      <w:tr w:rsidR="00E16820" w14:paraId="452B4F6B" w14:textId="77777777">
        <w:tc>
          <w:tcPr>
            <w:tcW w:w="567" w:type="dxa"/>
          </w:tcPr>
          <w:p w14:paraId="422F8233" w14:textId="77777777" w:rsidR="00E16820" w:rsidRDefault="00E16820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6236" w:type="dxa"/>
          </w:tcPr>
          <w:p w14:paraId="33A2C016" w14:textId="77777777" w:rsidR="00E16820" w:rsidRDefault="00E16820">
            <w:pPr>
              <w:pStyle w:val="ConsPlusNormal"/>
            </w:pPr>
            <w:r>
              <w:t>Сосновый Бор</w:t>
            </w:r>
          </w:p>
        </w:tc>
        <w:tc>
          <w:tcPr>
            <w:tcW w:w="2268" w:type="dxa"/>
          </w:tcPr>
          <w:p w14:paraId="05AFD281" w14:textId="77777777" w:rsidR="00E16820" w:rsidRDefault="00E16820">
            <w:pPr>
              <w:pStyle w:val="ConsPlusNormal"/>
            </w:pPr>
            <w:r>
              <w:t>0,27</w:t>
            </w:r>
          </w:p>
        </w:tc>
      </w:tr>
      <w:tr w:rsidR="00E16820" w14:paraId="22B2B969" w14:textId="77777777">
        <w:tc>
          <w:tcPr>
            <w:tcW w:w="567" w:type="dxa"/>
          </w:tcPr>
          <w:p w14:paraId="29928A53" w14:textId="77777777" w:rsidR="00E16820" w:rsidRDefault="00E16820">
            <w:pPr>
              <w:pStyle w:val="ConsPlusNormal"/>
            </w:pPr>
            <w:r>
              <w:t>26.</w:t>
            </w:r>
          </w:p>
        </w:tc>
        <w:tc>
          <w:tcPr>
            <w:tcW w:w="6236" w:type="dxa"/>
          </w:tcPr>
          <w:p w14:paraId="75D14C72" w14:textId="77777777" w:rsidR="00E16820" w:rsidRDefault="00E16820">
            <w:pPr>
              <w:pStyle w:val="ConsPlusNormal"/>
            </w:pPr>
            <w:r>
              <w:t>Заречная Слобода</w:t>
            </w:r>
          </w:p>
        </w:tc>
        <w:tc>
          <w:tcPr>
            <w:tcW w:w="2268" w:type="dxa"/>
          </w:tcPr>
          <w:p w14:paraId="796E9763" w14:textId="77777777" w:rsidR="00E16820" w:rsidRDefault="00E16820">
            <w:pPr>
              <w:pStyle w:val="ConsPlusNormal"/>
            </w:pPr>
            <w:r>
              <w:t>0,27</w:t>
            </w:r>
          </w:p>
        </w:tc>
      </w:tr>
      <w:tr w:rsidR="00E16820" w14:paraId="78C81A98" w14:textId="77777777">
        <w:tc>
          <w:tcPr>
            <w:tcW w:w="567" w:type="dxa"/>
          </w:tcPr>
          <w:p w14:paraId="3D7FC224" w14:textId="77777777" w:rsidR="00E16820" w:rsidRDefault="00E16820">
            <w:pPr>
              <w:pStyle w:val="ConsPlusNormal"/>
            </w:pPr>
            <w:r>
              <w:t>27.</w:t>
            </w:r>
          </w:p>
        </w:tc>
        <w:tc>
          <w:tcPr>
            <w:tcW w:w="6236" w:type="dxa"/>
          </w:tcPr>
          <w:p w14:paraId="6947C67A" w14:textId="77777777" w:rsidR="00E16820" w:rsidRDefault="00E16820">
            <w:pPr>
              <w:pStyle w:val="ConsPlusNormal"/>
            </w:pPr>
            <w:proofErr w:type="spellStart"/>
            <w:r>
              <w:t>Снежнегорск</w:t>
            </w:r>
            <w:proofErr w:type="spellEnd"/>
          </w:p>
        </w:tc>
        <w:tc>
          <w:tcPr>
            <w:tcW w:w="2268" w:type="dxa"/>
          </w:tcPr>
          <w:p w14:paraId="019629A4" w14:textId="77777777" w:rsidR="00E16820" w:rsidRDefault="00E16820">
            <w:pPr>
              <w:pStyle w:val="ConsPlusNormal"/>
            </w:pPr>
            <w:r>
              <w:t>0,2</w:t>
            </w:r>
          </w:p>
        </w:tc>
      </w:tr>
      <w:tr w:rsidR="00E16820" w14:paraId="5A780034" w14:textId="77777777">
        <w:tc>
          <w:tcPr>
            <w:tcW w:w="567" w:type="dxa"/>
          </w:tcPr>
          <w:p w14:paraId="2FB124E5" w14:textId="77777777" w:rsidR="00E16820" w:rsidRDefault="00E16820">
            <w:pPr>
              <w:pStyle w:val="ConsPlusNormal"/>
            </w:pPr>
            <w:r>
              <w:t>28.</w:t>
            </w:r>
          </w:p>
        </w:tc>
        <w:tc>
          <w:tcPr>
            <w:tcW w:w="6236" w:type="dxa"/>
          </w:tcPr>
          <w:p w14:paraId="39E124F5" w14:textId="77777777" w:rsidR="00E16820" w:rsidRDefault="00E16820">
            <w:pPr>
              <w:pStyle w:val="ConsPlusNormal"/>
            </w:pPr>
            <w:proofErr w:type="spellStart"/>
            <w:r>
              <w:t>Тунгала</w:t>
            </w:r>
            <w:proofErr w:type="spellEnd"/>
          </w:p>
        </w:tc>
        <w:tc>
          <w:tcPr>
            <w:tcW w:w="2268" w:type="dxa"/>
          </w:tcPr>
          <w:p w14:paraId="0D539496" w14:textId="77777777" w:rsidR="00E16820" w:rsidRDefault="00E16820">
            <w:pPr>
              <w:pStyle w:val="ConsPlusNormal"/>
            </w:pPr>
            <w:r>
              <w:t>0,27</w:t>
            </w:r>
          </w:p>
        </w:tc>
      </w:tr>
      <w:tr w:rsidR="00E16820" w14:paraId="24FB7A47" w14:textId="77777777">
        <w:tc>
          <w:tcPr>
            <w:tcW w:w="567" w:type="dxa"/>
          </w:tcPr>
          <w:p w14:paraId="48ACB032" w14:textId="77777777" w:rsidR="00E16820" w:rsidRDefault="00E16820">
            <w:pPr>
              <w:pStyle w:val="ConsPlusNormal"/>
            </w:pPr>
            <w:r>
              <w:t>29.</w:t>
            </w:r>
          </w:p>
        </w:tc>
        <w:tc>
          <w:tcPr>
            <w:tcW w:w="6236" w:type="dxa"/>
          </w:tcPr>
          <w:p w14:paraId="23F037D2" w14:textId="77777777" w:rsidR="00E16820" w:rsidRDefault="00E16820">
            <w:pPr>
              <w:pStyle w:val="ConsPlusNormal"/>
            </w:pPr>
            <w:r>
              <w:t>Юбилейный</w:t>
            </w:r>
          </w:p>
        </w:tc>
        <w:tc>
          <w:tcPr>
            <w:tcW w:w="2268" w:type="dxa"/>
          </w:tcPr>
          <w:p w14:paraId="519A3BF8" w14:textId="77777777" w:rsidR="00E16820" w:rsidRDefault="00E16820">
            <w:pPr>
              <w:pStyle w:val="ConsPlusNormal"/>
            </w:pPr>
            <w:r>
              <w:t>0,27</w:t>
            </w:r>
          </w:p>
        </w:tc>
      </w:tr>
      <w:tr w:rsidR="00E16820" w14:paraId="43CDBEFB" w14:textId="77777777">
        <w:tc>
          <w:tcPr>
            <w:tcW w:w="567" w:type="dxa"/>
          </w:tcPr>
          <w:p w14:paraId="5E8EBFD2" w14:textId="77777777" w:rsidR="00E16820" w:rsidRDefault="00E16820">
            <w:pPr>
              <w:pStyle w:val="ConsPlusNormal"/>
            </w:pPr>
            <w:r>
              <w:t>30.</w:t>
            </w:r>
          </w:p>
        </w:tc>
        <w:tc>
          <w:tcPr>
            <w:tcW w:w="6236" w:type="dxa"/>
          </w:tcPr>
          <w:p w14:paraId="2561C6D0" w14:textId="77777777" w:rsidR="00E16820" w:rsidRDefault="00E16820">
            <w:pPr>
              <w:pStyle w:val="ConsPlusNormal"/>
            </w:pPr>
            <w:r>
              <w:t>Береговой</w:t>
            </w:r>
          </w:p>
        </w:tc>
        <w:tc>
          <w:tcPr>
            <w:tcW w:w="2268" w:type="dxa"/>
          </w:tcPr>
          <w:p w14:paraId="3314E624" w14:textId="77777777" w:rsidR="00E16820" w:rsidRDefault="00E16820">
            <w:pPr>
              <w:pStyle w:val="ConsPlusNormal"/>
            </w:pPr>
            <w:r>
              <w:t>0,35</w:t>
            </w:r>
          </w:p>
        </w:tc>
      </w:tr>
      <w:tr w:rsidR="00E16820" w14:paraId="12CEACEC" w14:textId="77777777">
        <w:tc>
          <w:tcPr>
            <w:tcW w:w="567" w:type="dxa"/>
          </w:tcPr>
          <w:p w14:paraId="47247D19" w14:textId="77777777" w:rsidR="00E16820" w:rsidRDefault="00E16820">
            <w:pPr>
              <w:pStyle w:val="ConsPlusNormal"/>
            </w:pPr>
            <w:r>
              <w:t>31.</w:t>
            </w:r>
          </w:p>
        </w:tc>
        <w:tc>
          <w:tcPr>
            <w:tcW w:w="6236" w:type="dxa"/>
          </w:tcPr>
          <w:p w14:paraId="5DE000B8" w14:textId="77777777" w:rsidR="00E16820" w:rsidRDefault="00E16820">
            <w:pPr>
              <w:pStyle w:val="ConsPlusNormal"/>
            </w:pPr>
            <w:proofErr w:type="spellStart"/>
            <w:r>
              <w:t>Верхнезейск</w:t>
            </w:r>
            <w:proofErr w:type="spellEnd"/>
          </w:p>
        </w:tc>
        <w:tc>
          <w:tcPr>
            <w:tcW w:w="2268" w:type="dxa"/>
          </w:tcPr>
          <w:p w14:paraId="75888E79" w14:textId="77777777" w:rsidR="00E16820" w:rsidRDefault="00E16820">
            <w:pPr>
              <w:pStyle w:val="ConsPlusNormal"/>
            </w:pPr>
            <w:r>
              <w:t>0,35</w:t>
            </w:r>
          </w:p>
        </w:tc>
      </w:tr>
      <w:tr w:rsidR="00E16820" w14:paraId="39DF4606" w14:textId="77777777">
        <w:tc>
          <w:tcPr>
            <w:tcW w:w="567" w:type="dxa"/>
          </w:tcPr>
          <w:p w14:paraId="1DCCA20B" w14:textId="77777777" w:rsidR="00E16820" w:rsidRDefault="00E16820">
            <w:pPr>
              <w:pStyle w:val="ConsPlusNormal"/>
            </w:pPr>
            <w:r>
              <w:t>32.</w:t>
            </w:r>
          </w:p>
        </w:tc>
        <w:tc>
          <w:tcPr>
            <w:tcW w:w="6236" w:type="dxa"/>
          </w:tcPr>
          <w:p w14:paraId="4E713E56" w14:textId="77777777" w:rsidR="00E16820" w:rsidRDefault="00E16820">
            <w:pPr>
              <w:pStyle w:val="ConsPlusNormal"/>
            </w:pPr>
            <w:r>
              <w:t>Октябрьский</w:t>
            </w:r>
          </w:p>
        </w:tc>
        <w:tc>
          <w:tcPr>
            <w:tcW w:w="2268" w:type="dxa"/>
          </w:tcPr>
          <w:p w14:paraId="697147E0" w14:textId="77777777" w:rsidR="00E16820" w:rsidRDefault="00E16820">
            <w:pPr>
              <w:pStyle w:val="ConsPlusNormal"/>
            </w:pPr>
            <w:r>
              <w:t>0,35</w:t>
            </w:r>
          </w:p>
        </w:tc>
      </w:tr>
      <w:tr w:rsidR="00E16820" w14:paraId="2F513589" w14:textId="77777777">
        <w:tc>
          <w:tcPr>
            <w:tcW w:w="567" w:type="dxa"/>
          </w:tcPr>
          <w:p w14:paraId="458E325D" w14:textId="77777777" w:rsidR="00E16820" w:rsidRDefault="00E16820">
            <w:pPr>
              <w:pStyle w:val="ConsPlusNormal"/>
            </w:pPr>
            <w:r>
              <w:t>33.</w:t>
            </w:r>
          </w:p>
        </w:tc>
        <w:tc>
          <w:tcPr>
            <w:tcW w:w="6236" w:type="dxa"/>
          </w:tcPr>
          <w:p w14:paraId="7B2EFFFC" w14:textId="77777777" w:rsidR="00E16820" w:rsidRDefault="00E16820">
            <w:pPr>
              <w:pStyle w:val="ConsPlusNormal"/>
            </w:pPr>
            <w:r>
              <w:t>Овсянка</w:t>
            </w:r>
          </w:p>
        </w:tc>
        <w:tc>
          <w:tcPr>
            <w:tcW w:w="2268" w:type="dxa"/>
          </w:tcPr>
          <w:p w14:paraId="551F5D75" w14:textId="77777777" w:rsidR="00E16820" w:rsidRDefault="00E16820">
            <w:pPr>
              <w:pStyle w:val="ConsPlusNormal"/>
            </w:pPr>
            <w:r>
              <w:t>0,4</w:t>
            </w:r>
          </w:p>
        </w:tc>
      </w:tr>
      <w:tr w:rsidR="00E16820" w14:paraId="467B83BA" w14:textId="77777777">
        <w:tc>
          <w:tcPr>
            <w:tcW w:w="567" w:type="dxa"/>
          </w:tcPr>
          <w:p w14:paraId="597F8F0D" w14:textId="77777777" w:rsidR="00E16820" w:rsidRDefault="00E16820">
            <w:pPr>
              <w:pStyle w:val="ConsPlusNormal"/>
            </w:pPr>
            <w:r>
              <w:t>34.</w:t>
            </w:r>
          </w:p>
        </w:tc>
        <w:tc>
          <w:tcPr>
            <w:tcW w:w="6236" w:type="dxa"/>
          </w:tcPr>
          <w:p w14:paraId="0D9FCE1A" w14:textId="77777777" w:rsidR="00E16820" w:rsidRDefault="00E16820">
            <w:pPr>
              <w:pStyle w:val="ConsPlusNormal"/>
            </w:pPr>
            <w:r>
              <w:t>Территории за пределами границ населенных пунктов</w:t>
            </w:r>
          </w:p>
        </w:tc>
        <w:tc>
          <w:tcPr>
            <w:tcW w:w="2268" w:type="dxa"/>
          </w:tcPr>
          <w:p w14:paraId="46B26FE5" w14:textId="77777777" w:rsidR="00E16820" w:rsidRDefault="00E16820">
            <w:pPr>
              <w:pStyle w:val="ConsPlusNormal"/>
            </w:pPr>
            <w:r>
              <w:t>0,35".</w:t>
            </w:r>
          </w:p>
        </w:tc>
      </w:tr>
    </w:tbl>
    <w:p w14:paraId="0B7940C1" w14:textId="77777777" w:rsidR="00E16820" w:rsidRDefault="00E16820">
      <w:pPr>
        <w:pStyle w:val="ConsPlusNormal"/>
        <w:ind w:firstLine="540"/>
        <w:jc w:val="both"/>
      </w:pPr>
    </w:p>
    <w:p w14:paraId="45B5D8D8" w14:textId="77777777" w:rsidR="00E16820" w:rsidRDefault="00E16820">
      <w:pPr>
        <w:pStyle w:val="ConsPlusNormal"/>
        <w:ind w:firstLine="540"/>
        <w:jc w:val="both"/>
      </w:pPr>
      <w:r>
        <w:t>2.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14:paraId="6C4CC12A" w14:textId="77777777" w:rsidR="00E16820" w:rsidRDefault="00E16820">
      <w:pPr>
        <w:pStyle w:val="ConsPlusNormal"/>
        <w:ind w:firstLine="540"/>
        <w:jc w:val="both"/>
      </w:pPr>
    </w:p>
    <w:p w14:paraId="579B5B46" w14:textId="77777777" w:rsidR="00E16820" w:rsidRDefault="00E16820">
      <w:pPr>
        <w:pStyle w:val="ConsPlusNormal"/>
        <w:jc w:val="right"/>
      </w:pPr>
      <w:r>
        <w:t>Глава</w:t>
      </w:r>
    </w:p>
    <w:p w14:paraId="7E095F5F" w14:textId="77777777" w:rsidR="00E16820" w:rsidRDefault="00E16820">
      <w:pPr>
        <w:pStyle w:val="ConsPlusNormal"/>
        <w:jc w:val="right"/>
      </w:pPr>
      <w:proofErr w:type="spellStart"/>
      <w:r>
        <w:t>Зейского</w:t>
      </w:r>
      <w:proofErr w:type="spellEnd"/>
      <w:r>
        <w:t xml:space="preserve"> района</w:t>
      </w:r>
    </w:p>
    <w:p w14:paraId="489CC2A3" w14:textId="77777777" w:rsidR="00E16820" w:rsidRDefault="00E16820">
      <w:pPr>
        <w:pStyle w:val="ConsPlusNormal"/>
        <w:jc w:val="right"/>
      </w:pPr>
      <w:r>
        <w:t>Н.И.ЛИХОГРУД</w:t>
      </w:r>
    </w:p>
    <w:p w14:paraId="40E3BC42" w14:textId="77777777" w:rsidR="00E16820" w:rsidRDefault="00E16820">
      <w:pPr>
        <w:pStyle w:val="ConsPlusNormal"/>
      </w:pPr>
      <w:r>
        <w:t xml:space="preserve">г. </w:t>
      </w:r>
      <w:proofErr w:type="spellStart"/>
      <w:r>
        <w:t>Зея</w:t>
      </w:r>
      <w:proofErr w:type="spellEnd"/>
    </w:p>
    <w:p w14:paraId="7BBA1008" w14:textId="77777777" w:rsidR="00E16820" w:rsidRDefault="00E16820">
      <w:pPr>
        <w:pStyle w:val="ConsPlusNormal"/>
        <w:spacing w:before="220"/>
      </w:pPr>
      <w:r>
        <w:t>30 июня 2008 года</w:t>
      </w:r>
    </w:p>
    <w:p w14:paraId="2C05FDDD" w14:textId="77777777" w:rsidR="00E16820" w:rsidRDefault="00E16820">
      <w:pPr>
        <w:pStyle w:val="ConsPlusNormal"/>
        <w:spacing w:before="220"/>
      </w:pPr>
      <w:r>
        <w:t>N 34-Р</w:t>
      </w:r>
    </w:p>
    <w:p w14:paraId="7CE8E3F8" w14:textId="77777777" w:rsidR="00E16820" w:rsidRDefault="00E16820">
      <w:pPr>
        <w:pStyle w:val="ConsPlusNormal"/>
        <w:ind w:firstLine="540"/>
        <w:jc w:val="both"/>
      </w:pPr>
    </w:p>
    <w:p w14:paraId="0D7E9563" w14:textId="77777777" w:rsidR="00E16820" w:rsidRDefault="00E16820">
      <w:pPr>
        <w:pStyle w:val="ConsPlusNormal"/>
        <w:ind w:firstLine="540"/>
        <w:jc w:val="both"/>
      </w:pPr>
    </w:p>
    <w:p w14:paraId="4C35A6D8" w14:textId="77777777" w:rsidR="00E16820" w:rsidRDefault="00E168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4E88EE" w14:textId="77777777" w:rsidR="008577CA" w:rsidRDefault="00AA0A18"/>
    <w:sectPr w:rsidR="008577CA" w:rsidSect="00D5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20"/>
    <w:rsid w:val="00974907"/>
    <w:rsid w:val="00AA0A18"/>
    <w:rsid w:val="00D95871"/>
    <w:rsid w:val="00E16820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CE12"/>
  <w15:docId w15:val="{4F626538-4012-4402-B078-BE708E84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56ED734862CFE749182A6E43AC107AEBFA55059B92D46BCAE05DFDB3C06B0659751A4CAAADE0F1C224D5325114944212A208E636C688CD40730393p1b7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56ED734862CFE749182A6E43AC107AEBFA55059B92D46BCAE05DFDB3C06B0659751A4CAAADE0F1C224D5305814944212A208E636C688CD40730393p1b7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6ED734862CFE749182A6E43AC107AEBFA55059B92D46BCAE05DFDB3C06B0659751A4CAAADE0F1C224D5305914944212A208E636C688CD40730393p1b7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856ED734862CFE749182A6E43AC107AEBFA55059B92D46BCAE05DFDB3C06B0659751A4CAAADE0F1C224D5335F14944212A208E636C688CD40730393p1b7X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856ED734862CFE749182A6E43AC107AEBFA55059B92D46BCAE05DFDB3C06B0659751A4CB8ADB8FDC022CB325B01C21354pFb7X" TargetMode="External"/><Relationship Id="rId9" Type="http://schemas.openxmlformats.org/officeDocument/2006/relationships/hyperlink" Target="consultantplus://offline/ref=1856ED734862CFE749182A6E43AC107AEBFA55059B92D46BCAE05DFDB3C06B0659751A4CAAADE0F1C224D5315D14944212A208E636C688CD40730393p1b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Nadya</cp:lastModifiedBy>
  <cp:revision>3</cp:revision>
  <dcterms:created xsi:type="dcterms:W3CDTF">2020-03-07T10:36:00Z</dcterms:created>
  <dcterms:modified xsi:type="dcterms:W3CDTF">2020-03-07T10:36:00Z</dcterms:modified>
</cp:coreProperties>
</file>